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AD" w:rsidRDefault="002661A4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139.45pt;margin-top:8.65pt;width:107.95pt;height:27pt;z-index:251657216" filled="f" stroked="f" strokecolor="blue">
            <v:textbox>
              <w:txbxContent>
                <w:p w:rsidR="00355D01" w:rsidRPr="00466D8D" w:rsidRDefault="00355D01" w:rsidP="00355D01">
                  <w:pPr>
                    <w:rPr>
                      <w:rFonts w:ascii="Comic Sans MS" w:hAnsi="Comic Sans MS"/>
                    </w:rPr>
                  </w:pPr>
                  <w:r w:rsidRPr="00466D8D">
                    <w:rPr>
                      <w:rFonts w:ascii="Comic Sans MS" w:hAnsi="Comic Sans MS"/>
                    </w:rPr>
                    <w:t>FDLRS Region 3</w:t>
                  </w:r>
                </w:p>
              </w:txbxContent>
            </v:textbox>
          </v:shape>
        </w:pict>
      </w:r>
    </w:p>
    <w:p w:rsidR="004E01FA" w:rsidRPr="003D4F46" w:rsidRDefault="009E7FAD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4646295</wp:posOffset>
            </wp:positionH>
            <wp:positionV relativeFrom="paragraph">
              <wp:posOffset>50165</wp:posOffset>
            </wp:positionV>
            <wp:extent cx="1666875" cy="1219200"/>
            <wp:effectExtent l="19050" t="0" r="9525" b="0"/>
            <wp:wrapSquare wrapText="bothSides"/>
            <wp:docPr id="5" name="Picture 5" descr="FDLRSRegion3 by efdl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DLRSRegion3 by efdlrs.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9B6"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1074420</wp:posOffset>
            </wp:positionH>
            <wp:positionV relativeFrom="margin">
              <wp:posOffset>308610</wp:posOffset>
            </wp:positionV>
            <wp:extent cx="1695450" cy="14478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9B6"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-259080</wp:posOffset>
            </wp:positionH>
            <wp:positionV relativeFrom="margin">
              <wp:posOffset>-44450</wp:posOffset>
            </wp:positionV>
            <wp:extent cx="2023110" cy="1724025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372" w:rsidRPr="003D4F46">
        <w:rPr>
          <w:rFonts w:ascii="Comic Sans MS" w:hAnsi="Comic Sans MS"/>
          <w:sz w:val="40"/>
          <w:szCs w:val="40"/>
        </w:rPr>
        <w:t xml:space="preserve">Marcia’s </w:t>
      </w:r>
    </w:p>
    <w:p w:rsidR="004E01FA" w:rsidRPr="003D4F46" w:rsidRDefault="00D02374">
      <w:pPr>
        <w:rPr>
          <w:rFonts w:ascii="Comic Sans MS" w:hAnsi="Comic Sans MS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4645660</wp:posOffset>
            </wp:positionH>
            <wp:positionV relativeFrom="margin">
              <wp:posOffset>697230</wp:posOffset>
            </wp:positionV>
            <wp:extent cx="847725" cy="828675"/>
            <wp:effectExtent l="19050" t="0" r="9525" b="0"/>
            <wp:wrapSquare wrapText="bothSides"/>
            <wp:docPr id="10" name="Picture 10" descr="FDLRSofficial02 by efdl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DLRSofficial02 by efdlrs.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372" w:rsidRPr="003D4F46">
        <w:rPr>
          <w:rFonts w:ascii="Comic Sans MS" w:hAnsi="Comic Sans MS"/>
          <w:sz w:val="40"/>
          <w:szCs w:val="40"/>
        </w:rPr>
        <w:t xml:space="preserve">Monthly </w:t>
      </w:r>
    </w:p>
    <w:p w:rsidR="006A3800" w:rsidRDefault="00A92372">
      <w:pPr>
        <w:rPr>
          <w:rFonts w:ascii="Arial" w:hAnsi="Arial" w:cs="Arial"/>
          <w:color w:val="000000"/>
          <w:sz w:val="40"/>
          <w:szCs w:val="40"/>
        </w:rPr>
      </w:pPr>
      <w:r w:rsidRPr="003D4F46">
        <w:rPr>
          <w:rFonts w:ascii="Comic Sans MS" w:hAnsi="Comic Sans MS"/>
          <w:sz w:val="40"/>
          <w:szCs w:val="40"/>
        </w:rPr>
        <w:t>Minutes</w:t>
      </w:r>
      <w:r w:rsidR="00466D8D" w:rsidRPr="003D4F46">
        <w:rPr>
          <w:rFonts w:ascii="Comic Sans MS" w:hAnsi="Comic Sans MS"/>
          <w:sz w:val="40"/>
          <w:szCs w:val="40"/>
        </w:rPr>
        <w:t>…</w:t>
      </w:r>
      <w:r w:rsidR="00466D8D" w:rsidRPr="003D4F46">
        <w:rPr>
          <w:rFonts w:ascii="Arial" w:hAnsi="Arial" w:cs="Arial"/>
          <w:color w:val="000000"/>
          <w:sz w:val="40"/>
          <w:szCs w:val="40"/>
        </w:rPr>
        <w:t xml:space="preserve"> </w:t>
      </w:r>
    </w:p>
    <w:p w:rsidR="00FC169E" w:rsidRDefault="00FC169E">
      <w:pPr>
        <w:rPr>
          <w:rFonts w:ascii="Arial" w:hAnsi="Arial" w:cs="Arial"/>
          <w:color w:val="000000"/>
          <w:szCs w:val="40"/>
        </w:rPr>
      </w:pPr>
    </w:p>
    <w:p w:rsidR="00BF7234" w:rsidRDefault="00BF7234">
      <w:pPr>
        <w:rPr>
          <w:rFonts w:ascii="Arial" w:hAnsi="Arial" w:cs="Arial"/>
          <w:color w:val="000000"/>
          <w:szCs w:val="40"/>
        </w:rPr>
      </w:pPr>
    </w:p>
    <w:p w:rsidR="00BF7234" w:rsidRDefault="00BF7234">
      <w:pPr>
        <w:rPr>
          <w:rFonts w:ascii="Arial" w:hAnsi="Arial" w:cs="Arial"/>
          <w:color w:val="000000"/>
          <w:szCs w:val="40"/>
        </w:rPr>
      </w:pPr>
    </w:p>
    <w:p w:rsidR="00A15D15" w:rsidRPr="00355D01" w:rsidRDefault="00A15D15">
      <w:pPr>
        <w:rPr>
          <w:rFonts w:ascii="Arial" w:hAnsi="Arial" w:cs="Arial"/>
          <w:color w:val="000000"/>
          <w:szCs w:val="40"/>
        </w:rPr>
      </w:pPr>
    </w:p>
    <w:p w:rsidR="006A3800" w:rsidRPr="00C74E64" w:rsidRDefault="006A3800">
      <w:pPr>
        <w:rPr>
          <w:rFonts w:ascii="Arial" w:hAnsi="Arial" w:cs="Arial"/>
          <w:color w:val="000000"/>
          <w:sz w:val="22"/>
          <w:szCs w:val="40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8"/>
        <w:gridCol w:w="6660"/>
        <w:gridCol w:w="1620"/>
      </w:tblGrid>
      <w:tr w:rsidR="00BE6716" w:rsidRPr="00CC25DA" w:rsidTr="00C82031">
        <w:tc>
          <w:tcPr>
            <w:tcW w:w="2358" w:type="dxa"/>
          </w:tcPr>
          <w:p w:rsidR="002C7547" w:rsidRDefault="004E01FA" w:rsidP="002C7547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 xml:space="preserve">Vol. </w:t>
            </w:r>
            <w:r w:rsidR="00A04148">
              <w:rPr>
                <w:rFonts w:ascii="Comic Sans MS" w:hAnsi="Comic Sans MS"/>
              </w:rPr>
              <w:t>20</w:t>
            </w:r>
            <w:r w:rsidR="001927C8">
              <w:rPr>
                <w:rFonts w:ascii="Comic Sans MS" w:hAnsi="Comic Sans MS"/>
              </w:rPr>
              <w:t xml:space="preserve">  </w:t>
            </w:r>
          </w:p>
          <w:p w:rsidR="00A92372" w:rsidRPr="00CC25DA" w:rsidRDefault="00A04148" w:rsidP="002C75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September</w:t>
            </w:r>
            <w:r w:rsidR="00B2516F">
              <w:rPr>
                <w:rFonts w:ascii="Comic Sans MS" w:hAnsi="Comic Sans MS"/>
              </w:rPr>
              <w:t xml:space="preserve"> </w:t>
            </w:r>
            <w:r w:rsidR="004E01FA" w:rsidRPr="00CC25DA">
              <w:rPr>
                <w:rFonts w:ascii="Comic Sans MS" w:hAnsi="Comic Sans MS"/>
              </w:rPr>
              <w:t xml:space="preserve"> 20</w:t>
            </w:r>
            <w:r w:rsidR="005D45F0">
              <w:rPr>
                <w:rFonts w:ascii="Comic Sans MS" w:hAnsi="Comic Sans MS"/>
              </w:rPr>
              <w:t>10</w:t>
            </w:r>
          </w:p>
        </w:tc>
        <w:tc>
          <w:tcPr>
            <w:tcW w:w="6660" w:type="dxa"/>
          </w:tcPr>
          <w:p w:rsidR="00A92372" w:rsidRPr="00CC25DA" w:rsidRDefault="00A92372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>Details</w:t>
            </w:r>
          </w:p>
        </w:tc>
        <w:tc>
          <w:tcPr>
            <w:tcW w:w="1620" w:type="dxa"/>
          </w:tcPr>
          <w:p w:rsidR="00A92372" w:rsidRPr="00CC25DA" w:rsidRDefault="00A92372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>To do…</w:t>
            </w:r>
          </w:p>
        </w:tc>
      </w:tr>
      <w:tr w:rsidR="00EE761D" w:rsidRPr="00CC25DA" w:rsidTr="00C82031">
        <w:tc>
          <w:tcPr>
            <w:tcW w:w="2358" w:type="dxa"/>
          </w:tcPr>
          <w:p w:rsidR="00A15D15" w:rsidRPr="00FA39B6" w:rsidRDefault="00A15D15" w:rsidP="00627113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386D70" w:rsidRPr="00FA39B6" w:rsidRDefault="00C23EFC" w:rsidP="00C23EFC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Note date change</w:t>
            </w:r>
          </w:p>
        </w:tc>
        <w:tc>
          <w:tcPr>
            <w:tcW w:w="6660" w:type="dxa"/>
          </w:tcPr>
          <w:p w:rsidR="004C4DEE" w:rsidRDefault="004C4DEE" w:rsidP="002354E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23EFC" w:rsidRDefault="00733232" w:rsidP="002354E6">
            <w:pPr>
              <w:rPr>
                <w:rFonts w:ascii="Comic Sans MS" w:hAnsi="Comic Sans MS"/>
                <w:sz w:val="20"/>
                <w:szCs w:val="20"/>
              </w:rPr>
            </w:pPr>
            <w:r w:rsidRPr="004C4DEE">
              <w:rPr>
                <w:rFonts w:ascii="Comic Sans MS" w:hAnsi="Comic Sans MS"/>
                <w:b/>
                <w:sz w:val="20"/>
                <w:szCs w:val="20"/>
              </w:rPr>
              <w:t>Keeping AAC Relevant to the Learning Environment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733232" w:rsidRDefault="00733232" w:rsidP="002354E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This will be a collaborative effort among AMDI, Saltillo, PRC, &amp; News2You. ASHA CEUs will be provided as well as lunch!</w:t>
            </w:r>
          </w:p>
          <w:p w:rsidR="00733232" w:rsidRDefault="00733232" w:rsidP="002354E6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EE761D" w:rsidRDefault="0036333A" w:rsidP="00C23EFC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C23EFC">
              <w:rPr>
                <w:rFonts w:ascii="Comic Sans MS" w:hAnsi="Comic Sans MS"/>
                <w:sz w:val="20"/>
                <w:szCs w:val="20"/>
              </w:rPr>
              <w:t xml:space="preserve">The date is now </w:t>
            </w:r>
            <w:r w:rsidR="00C23EFC" w:rsidRPr="00A04148">
              <w:rPr>
                <w:rFonts w:ascii="Comic Sans MS" w:hAnsi="Comic Sans MS"/>
                <w:b/>
                <w:sz w:val="20"/>
                <w:szCs w:val="20"/>
              </w:rPr>
              <w:t>Dec 6</w:t>
            </w:r>
            <w:r w:rsidR="00C23EFC" w:rsidRPr="00A04148">
              <w:rPr>
                <w:rFonts w:ascii="Comic Sans MS" w:hAnsi="Comic Sans MS"/>
                <w:b/>
                <w:sz w:val="20"/>
                <w:szCs w:val="20"/>
                <w:vertAlign w:val="superscript"/>
              </w:rPr>
              <w:t>th</w:t>
            </w:r>
            <w:r w:rsidR="00C23EFC">
              <w:rPr>
                <w:rFonts w:ascii="Comic Sans MS" w:hAnsi="Comic Sans MS"/>
                <w:sz w:val="20"/>
                <w:szCs w:val="20"/>
              </w:rPr>
              <w:t xml:space="preserve"> and it is filling up fast!</w:t>
            </w:r>
          </w:p>
        </w:tc>
      </w:tr>
      <w:tr w:rsidR="00386D70" w:rsidRPr="00CC25DA" w:rsidTr="00C82031">
        <w:tc>
          <w:tcPr>
            <w:tcW w:w="2358" w:type="dxa"/>
          </w:tcPr>
          <w:p w:rsidR="00ED09D0" w:rsidRDefault="00ED09D0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Cs w:val="28"/>
              </w:rPr>
            </w:pPr>
          </w:p>
          <w:p w:rsidR="00076F36" w:rsidRPr="00ED09D0" w:rsidRDefault="00ED09D0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Cs w:val="28"/>
              </w:rPr>
            </w:pPr>
            <w:r w:rsidRPr="00ED09D0">
              <w:rPr>
                <w:rFonts w:ascii="Comic Sans MS" w:hAnsi="Comic Sans MS"/>
                <w:color w:val="E36C0A" w:themeColor="accent6" w:themeShade="BF"/>
                <w:szCs w:val="28"/>
              </w:rPr>
              <w:t>Friendly Reminder</w:t>
            </w:r>
          </w:p>
          <w:p w:rsidR="00A15D15" w:rsidRPr="00FA39B6" w:rsidRDefault="00C23EFC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Still Need</w:t>
            </w:r>
          </w:p>
          <w:p w:rsidR="00A15D15" w:rsidRPr="00FA39B6" w:rsidRDefault="00474DCD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 xml:space="preserve">District </w:t>
            </w:r>
          </w:p>
          <w:p w:rsidR="00A15D15" w:rsidRPr="00FA39B6" w:rsidRDefault="00386D70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 xml:space="preserve">Annual </w:t>
            </w:r>
          </w:p>
          <w:p w:rsidR="00386D70" w:rsidRPr="00FA39B6" w:rsidRDefault="00386D70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Reports</w:t>
            </w:r>
          </w:p>
        </w:tc>
        <w:tc>
          <w:tcPr>
            <w:tcW w:w="6660" w:type="dxa"/>
          </w:tcPr>
          <w:p w:rsidR="00ED09D0" w:rsidRDefault="00ED09D0" w:rsidP="00646247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86D70" w:rsidRDefault="002C7547" w:rsidP="00646247">
            <w:pPr>
              <w:rPr>
                <w:rFonts w:ascii="Comic Sans MS" w:hAnsi="Comic Sans MS"/>
                <w:sz w:val="20"/>
                <w:szCs w:val="20"/>
              </w:rPr>
            </w:pPr>
            <w:r w:rsidRPr="00ED09D0">
              <w:rPr>
                <w:rFonts w:ascii="Comic Sans MS" w:hAnsi="Comic Sans MS"/>
                <w:b/>
                <w:sz w:val="20"/>
                <w:szCs w:val="20"/>
              </w:rPr>
              <w:t>Please</w:t>
            </w:r>
            <w:r>
              <w:rPr>
                <w:rFonts w:ascii="Comic Sans MS" w:hAnsi="Comic Sans MS"/>
                <w:sz w:val="20"/>
                <w:szCs w:val="20"/>
              </w:rPr>
              <w:t xml:space="preserve"> send me your annual reports – I’ve only received Orange, Osceola, </w:t>
            </w:r>
            <w:r w:rsidR="00C23EFC">
              <w:rPr>
                <w:rFonts w:ascii="Comic Sans MS" w:hAnsi="Comic Sans MS"/>
                <w:sz w:val="20"/>
                <w:szCs w:val="20"/>
              </w:rPr>
              <w:t xml:space="preserve">Okeechobee, </w:t>
            </w:r>
            <w:r>
              <w:rPr>
                <w:rFonts w:ascii="Comic Sans MS" w:hAnsi="Comic Sans MS"/>
                <w:sz w:val="20"/>
                <w:szCs w:val="20"/>
              </w:rPr>
              <w:t>and Seminole’s reports. I compile some of this info into my own annual report so please send it as soon as you can.</w:t>
            </w:r>
          </w:p>
          <w:p w:rsidR="00FB696B" w:rsidRDefault="00FB696B" w:rsidP="00646247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B696B" w:rsidRDefault="00FB696B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It does not have to be anything involved – you can send me just the totals if you want. </w:t>
            </w:r>
            <w:r w:rsidRPr="00FB696B">
              <w:rPr>
                <w:rFonts w:ascii="Comic Sans MS" w:hAnsi="Comic Sans MS"/>
                <w:b/>
                <w:sz w:val="20"/>
                <w:szCs w:val="20"/>
              </w:rPr>
              <w:t>Screenings – Assessments – Technical Assistance – Trainings/Participants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– Lab Visits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386D70" w:rsidRDefault="000B66E3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386D70" w:rsidRDefault="00386D70" w:rsidP="001D54BF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1D54BF">
              <w:rPr>
                <w:rFonts w:ascii="Comic Sans MS" w:hAnsi="Comic Sans MS"/>
                <w:sz w:val="20"/>
                <w:szCs w:val="20"/>
              </w:rPr>
              <w:t>Please s</w:t>
            </w:r>
            <w:r>
              <w:rPr>
                <w:rFonts w:ascii="Comic Sans MS" w:hAnsi="Comic Sans MS"/>
                <w:sz w:val="20"/>
                <w:szCs w:val="20"/>
              </w:rPr>
              <w:t>end me your annual reports</w:t>
            </w:r>
          </w:p>
        </w:tc>
      </w:tr>
      <w:tr w:rsidR="007E2BD0" w:rsidRPr="00CC25DA" w:rsidTr="00C82031">
        <w:tc>
          <w:tcPr>
            <w:tcW w:w="2358" w:type="dxa"/>
          </w:tcPr>
          <w:p w:rsidR="007E2BD0" w:rsidRDefault="007E2BD0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color w:val="E36C0A" w:themeColor="accent6" w:themeShade="BF"/>
                <w:sz w:val="28"/>
                <w:szCs w:val="28"/>
              </w:rPr>
              <w:drawing>
                <wp:inline distT="0" distB="0" distL="0" distR="0">
                  <wp:extent cx="990600" cy="704850"/>
                  <wp:effectExtent l="1905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2BD0" w:rsidRDefault="007E2BD0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Project CPALMS</w:t>
            </w:r>
            <w:r w:rsidR="00D0275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, CLASP,</w:t>
            </w:r>
          </w:p>
          <w:p w:rsidR="007E2BD0" w:rsidRPr="00FA39B6" w:rsidRDefault="007E2BD0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And FDLRS Region 3 Visual Supports</w:t>
            </w:r>
          </w:p>
        </w:tc>
        <w:tc>
          <w:tcPr>
            <w:tcW w:w="6660" w:type="dxa"/>
          </w:tcPr>
          <w:p w:rsidR="00456E00" w:rsidRPr="00456E00" w:rsidRDefault="007E2BD0" w:rsidP="0064624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David Davis asked me to present information about our collaborative efforts to create visual supports and </w:t>
            </w:r>
            <w:r w:rsidR="00456E00">
              <w:rPr>
                <w:rFonts w:ascii="Comic Sans MS" w:hAnsi="Comic Sans MS"/>
                <w:sz w:val="20"/>
                <w:szCs w:val="20"/>
              </w:rPr>
              <w:t>how we share them on our wikis</w:t>
            </w:r>
            <w:r>
              <w:rPr>
                <w:rFonts w:ascii="Comic Sans MS" w:hAnsi="Comic Sans MS"/>
                <w:sz w:val="20"/>
                <w:szCs w:val="20"/>
              </w:rPr>
              <w:t xml:space="preserve"> at AMM earlier this month. AMM is the Administrative Manage</w:t>
            </w:r>
            <w:r w:rsidR="00D02756">
              <w:rPr>
                <w:rFonts w:ascii="Comic Sans MS" w:hAnsi="Comic Sans MS"/>
                <w:sz w:val="20"/>
                <w:szCs w:val="20"/>
              </w:rPr>
              <w:t>ment</w:t>
            </w:r>
            <w:r>
              <w:rPr>
                <w:rFonts w:ascii="Comic Sans MS" w:hAnsi="Comic Sans MS"/>
                <w:sz w:val="20"/>
                <w:szCs w:val="20"/>
              </w:rPr>
              <w:t xml:space="preserve"> Meeting which is attended by BEESS </w:t>
            </w:r>
            <w:r w:rsidR="00ED09D0">
              <w:rPr>
                <w:rFonts w:ascii="Comic Sans MS" w:hAnsi="Comic Sans MS"/>
                <w:sz w:val="20"/>
                <w:szCs w:val="20"/>
              </w:rPr>
              <w:t>staff,</w:t>
            </w:r>
            <w:r w:rsidR="00456E00">
              <w:rPr>
                <w:rFonts w:ascii="Comic Sans MS" w:hAnsi="Comic Sans MS"/>
                <w:sz w:val="20"/>
                <w:szCs w:val="20"/>
              </w:rPr>
              <w:t xml:space="preserve"> district</w:t>
            </w:r>
            <w:r>
              <w:rPr>
                <w:rFonts w:ascii="Comic Sans MS" w:hAnsi="Comic Sans MS"/>
                <w:sz w:val="20"/>
                <w:szCs w:val="20"/>
              </w:rPr>
              <w:t xml:space="preserve"> ESE Directors,</w:t>
            </w:r>
            <w:r w:rsidR="00456E0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Managers</w:t>
            </w:r>
            <w:r w:rsidR="00456E00">
              <w:rPr>
                <w:rFonts w:ascii="Comic Sans MS" w:hAnsi="Comic Sans MS"/>
                <w:sz w:val="20"/>
                <w:szCs w:val="20"/>
              </w:rPr>
              <w:t xml:space="preserve"> of Discretionary Projects, etc.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456E00">
              <w:rPr>
                <w:rFonts w:ascii="Comic Sans MS" w:hAnsi="Comic Sans MS"/>
                <w:sz w:val="20"/>
                <w:szCs w:val="20"/>
              </w:rPr>
              <w:t xml:space="preserve">Attending our session were Virginia Horton and Bennett Buckles from the CLASP Project. This project is involved with providing support, resources, and resource alignment to the access points. </w:t>
            </w:r>
            <w:r w:rsidR="00456E00" w:rsidRPr="00456E00">
              <w:rPr>
                <w:rFonts w:ascii="Comic Sans MS" w:hAnsi="Comic Sans MS"/>
                <w:b/>
                <w:sz w:val="20"/>
                <w:szCs w:val="20"/>
                <w:u w:val="single"/>
              </w:rPr>
              <w:t>They are interested in including our visual supports as resources! How cool is that?</w:t>
            </w:r>
          </w:p>
          <w:p w:rsidR="00456E00" w:rsidRDefault="00456E00" w:rsidP="00646247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E2BD0" w:rsidRPr="00CE0822" w:rsidRDefault="00456E00" w:rsidP="00646247">
            <w:pPr>
              <w:rPr>
                <w:rFonts w:ascii="Comic Sans MS" w:hAnsi="Comic Sans MS"/>
                <w:sz w:val="20"/>
                <w:szCs w:val="20"/>
              </w:rPr>
            </w:pPr>
            <w:r w:rsidRPr="00CE0822">
              <w:rPr>
                <w:rFonts w:ascii="Comic Sans MS" w:hAnsi="Comic Sans MS"/>
                <w:sz w:val="20"/>
                <w:szCs w:val="20"/>
              </w:rPr>
              <w:t xml:space="preserve">CLASP is a part of </w:t>
            </w:r>
            <w:r w:rsidR="007E2BD0" w:rsidRPr="00CE0822">
              <w:rPr>
                <w:rFonts w:ascii="Comic Sans MS" w:hAnsi="Comic Sans MS"/>
                <w:sz w:val="20"/>
                <w:szCs w:val="20"/>
              </w:rPr>
              <w:t>Project CPALMS</w:t>
            </w:r>
          </w:p>
          <w:p w:rsidR="007E2BD0" w:rsidRDefault="008345CF" w:rsidP="00646247">
            <w:pPr>
              <w:rPr>
                <w:rFonts w:ascii="Comic Sans MS" w:hAnsi="Comic Sans MS"/>
                <w:sz w:val="20"/>
                <w:szCs w:val="20"/>
              </w:rPr>
            </w:pPr>
            <w:r w:rsidRPr="00CE0822">
              <w:rPr>
                <w:rFonts w:ascii="Comic Sans MS" w:hAnsi="Comic Sans MS" w:cs="Arial"/>
                <w:color w:val="000000"/>
                <w:sz w:val="20"/>
                <w:szCs w:val="20"/>
              </w:rPr>
              <w:t>To find out more…</w:t>
            </w:r>
          </w:p>
          <w:p w:rsidR="007E2BD0" w:rsidRDefault="002661A4" w:rsidP="00646247">
            <w:pPr>
              <w:rPr>
                <w:rFonts w:ascii="Comic Sans MS" w:hAnsi="Comic Sans MS"/>
                <w:sz w:val="20"/>
                <w:szCs w:val="20"/>
              </w:rPr>
            </w:pPr>
            <w:hyperlink r:id="rId13" w:history="1">
              <w:r w:rsidR="007E2BD0" w:rsidRPr="00923D0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http://www.floridastandards.org/Homepage/index.aspx?Redirected=1</w:t>
              </w:r>
            </w:hyperlink>
            <w:r w:rsidR="007E2BD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7E2BD0" w:rsidRDefault="007E2BD0" w:rsidP="001D54BF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8345CF" w:rsidRPr="00CC25DA" w:rsidTr="0035233F">
        <w:trPr>
          <w:trHeight w:val="1304"/>
        </w:trPr>
        <w:tc>
          <w:tcPr>
            <w:tcW w:w="2358" w:type="dxa"/>
          </w:tcPr>
          <w:p w:rsidR="008345CF" w:rsidRPr="00FA39B6" w:rsidRDefault="008345CF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 xml:space="preserve">FDLRS Region 3 Resources </w:t>
            </w:r>
          </w:p>
        </w:tc>
        <w:tc>
          <w:tcPr>
            <w:tcW w:w="6660" w:type="dxa"/>
          </w:tcPr>
          <w:p w:rsidR="008345CF" w:rsidRDefault="008345CF" w:rsidP="00F8646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Just a reminder to share the resources we’ve all worked so hard to create. For example, at our Boardmaker workshop, Karen and I show all the visual supports wikis and then show the video tutorials wiki in case they get back to their work location and forget how to do something</w:t>
            </w:r>
            <w:r w:rsidR="0035233F">
              <w:rPr>
                <w:rFonts w:ascii="Comic Sans MS" w:hAnsi="Comic Sans MS"/>
                <w:sz w:val="20"/>
                <w:szCs w:val="20"/>
              </w:rPr>
              <w:t>. People have been so appreciative of what we’ve created.</w:t>
            </w:r>
          </w:p>
        </w:tc>
        <w:tc>
          <w:tcPr>
            <w:tcW w:w="1620" w:type="dxa"/>
          </w:tcPr>
          <w:p w:rsidR="008345CF" w:rsidRDefault="0035233F" w:rsidP="0035233F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Don’t forget to share the resources we’ve created.</w:t>
            </w:r>
          </w:p>
        </w:tc>
      </w:tr>
      <w:tr w:rsidR="00F86463" w:rsidRPr="00CC25DA" w:rsidTr="00C82031">
        <w:tc>
          <w:tcPr>
            <w:tcW w:w="2358" w:type="dxa"/>
          </w:tcPr>
          <w:p w:rsidR="00FA39B6" w:rsidRPr="00FA39B6" w:rsidRDefault="00FA39B6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FA39B6" w:rsidRPr="00FA39B6" w:rsidRDefault="00F86463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 xml:space="preserve">Spotlight on Tami </w:t>
            </w:r>
          </w:p>
          <w:p w:rsidR="00F86463" w:rsidRPr="00FA39B6" w:rsidRDefault="00F86463" w:rsidP="00646247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and OCPS</w:t>
            </w:r>
          </w:p>
        </w:tc>
        <w:tc>
          <w:tcPr>
            <w:tcW w:w="6660" w:type="dxa"/>
          </w:tcPr>
          <w:p w:rsidR="00F86463" w:rsidRDefault="00F86463" w:rsidP="00F8646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Tami was interviewed for </w:t>
            </w:r>
            <w:r w:rsidR="00FA39B6">
              <w:rPr>
                <w:rFonts w:ascii="Comic Sans MS" w:hAnsi="Comic Sans MS"/>
                <w:sz w:val="20"/>
                <w:szCs w:val="20"/>
              </w:rPr>
              <w:t>the September</w:t>
            </w:r>
            <w:r>
              <w:rPr>
                <w:rFonts w:ascii="Comic Sans MS" w:hAnsi="Comic Sans MS"/>
                <w:sz w:val="20"/>
                <w:szCs w:val="20"/>
              </w:rPr>
              <w:t xml:space="preserve"> issue of the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THE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Journal. The </w:t>
            </w:r>
            <w:r w:rsidR="008B5FCD">
              <w:rPr>
                <w:rFonts w:ascii="Comic Sans MS" w:hAnsi="Comic Sans MS"/>
                <w:sz w:val="20"/>
                <w:szCs w:val="20"/>
              </w:rPr>
              <w:t>article</w:t>
            </w:r>
            <w:r w:rsidR="00CE0822">
              <w:rPr>
                <w:rFonts w:ascii="Comic Sans MS" w:hAnsi="Comic Sans MS"/>
                <w:sz w:val="20"/>
                <w:szCs w:val="20"/>
              </w:rPr>
              <w:t>,</w:t>
            </w:r>
            <w:r w:rsidR="008B5FC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A39B6">
              <w:rPr>
                <w:rFonts w:ascii="Comic Sans MS" w:hAnsi="Comic Sans MS"/>
                <w:sz w:val="20"/>
                <w:szCs w:val="20"/>
              </w:rPr>
              <w:t xml:space="preserve">entitled “Merging IT with AT” </w:t>
            </w:r>
            <w:r w:rsidR="008B5FCD">
              <w:rPr>
                <w:rFonts w:ascii="Comic Sans MS" w:hAnsi="Comic Sans MS"/>
                <w:sz w:val="20"/>
                <w:szCs w:val="20"/>
              </w:rPr>
              <w:t>focused</w:t>
            </w:r>
            <w:r>
              <w:rPr>
                <w:rFonts w:ascii="Comic Sans MS" w:hAnsi="Comic Sans MS"/>
                <w:sz w:val="20"/>
                <w:szCs w:val="20"/>
              </w:rPr>
              <w:t xml:space="preserve"> on the issue of technology making kids look different as well as their district Read Write Gold project.</w:t>
            </w:r>
          </w:p>
          <w:p w:rsidR="00FA39B6" w:rsidRDefault="00FA39B6" w:rsidP="00F86463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A39B6" w:rsidRDefault="00FA39B6" w:rsidP="00F8646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Here’s the link:</w:t>
            </w:r>
          </w:p>
          <w:p w:rsidR="008B5FCD" w:rsidRDefault="002661A4" w:rsidP="00F86463">
            <w:pPr>
              <w:rPr>
                <w:rFonts w:ascii="Comic Sans MS" w:hAnsi="Comic Sans MS"/>
                <w:sz w:val="20"/>
                <w:szCs w:val="20"/>
              </w:rPr>
            </w:pPr>
            <w:hyperlink r:id="rId14" w:tgtFrame="_blank" w:history="1">
              <w:r w:rsidR="00FA39B6" w:rsidRPr="00425B13">
                <w:rPr>
                  <w:rStyle w:val="Hyperlink"/>
                  <w:rFonts w:ascii="Comic Sans MS" w:hAnsi="Comic Sans MS" w:cs="Tahoma"/>
                  <w:sz w:val="20"/>
                  <w:szCs w:val="20"/>
                </w:rPr>
                <w:t>http://www.nxtbook.com/nxtbooks/1105/journal_201009/index.php?startid=13</w:t>
              </w:r>
            </w:hyperlink>
          </w:p>
        </w:tc>
        <w:tc>
          <w:tcPr>
            <w:tcW w:w="1620" w:type="dxa"/>
          </w:tcPr>
          <w:p w:rsidR="00F86463" w:rsidRDefault="00F86463" w:rsidP="001D54BF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386D70" w:rsidRPr="00CC25DA" w:rsidTr="00C82031">
        <w:tc>
          <w:tcPr>
            <w:tcW w:w="2358" w:type="dxa"/>
          </w:tcPr>
          <w:p w:rsidR="00FA39B6" w:rsidRPr="00FA39B6" w:rsidRDefault="00FA39B6" w:rsidP="00B005FA">
            <w:pPr>
              <w:jc w:val="center"/>
              <w:rPr>
                <w:rFonts w:ascii="Comic Sans MS" w:hAnsi="Comic Sans MS"/>
                <w:noProof/>
                <w:color w:val="E36C0A" w:themeColor="accent6" w:themeShade="BF"/>
              </w:rPr>
            </w:pPr>
          </w:p>
          <w:p w:rsidR="00386D70" w:rsidRPr="00FA39B6" w:rsidRDefault="00076F36" w:rsidP="00B005FA">
            <w:pPr>
              <w:jc w:val="center"/>
              <w:rPr>
                <w:rFonts w:ascii="Comic Sans MS" w:hAnsi="Comic Sans MS"/>
                <w:noProof/>
                <w:color w:val="E36C0A" w:themeColor="accent6" w:themeShade="BF"/>
                <w:sz w:val="28"/>
              </w:rPr>
            </w:pPr>
            <w:r w:rsidRPr="00FA39B6">
              <w:rPr>
                <w:rFonts w:ascii="Comic Sans MS" w:hAnsi="Comic Sans MS"/>
                <w:noProof/>
                <w:color w:val="E36C0A" w:themeColor="accent6" w:themeShade="BF"/>
                <w:sz w:val="28"/>
              </w:rPr>
              <w:t>PODD</w:t>
            </w:r>
          </w:p>
          <w:p w:rsidR="00076F36" w:rsidRPr="00FA39B6" w:rsidRDefault="00076F36" w:rsidP="00B005FA">
            <w:pPr>
              <w:jc w:val="center"/>
              <w:rPr>
                <w:rFonts w:ascii="Comic Sans MS" w:hAnsi="Comic Sans MS"/>
                <w:noProof/>
                <w:color w:val="E36C0A" w:themeColor="accent6" w:themeShade="BF"/>
              </w:rPr>
            </w:pPr>
            <w:r w:rsidRPr="00FA39B6">
              <w:rPr>
                <w:rFonts w:ascii="Comic Sans MS" w:hAnsi="Comic Sans MS"/>
                <w:noProof/>
                <w:color w:val="E36C0A" w:themeColor="accent6" w:themeShade="BF"/>
                <w:sz w:val="28"/>
              </w:rPr>
              <w:t>Training</w:t>
            </w:r>
          </w:p>
        </w:tc>
        <w:tc>
          <w:tcPr>
            <w:tcW w:w="6660" w:type="dxa"/>
          </w:tcPr>
          <w:p w:rsidR="00A34EF1" w:rsidRPr="007E3E18" w:rsidRDefault="00076F36" w:rsidP="002F45B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Rena Carney, RTS in Region 1, is hosting A PODD training with Linda Burkhart on January 6 &amp; 7</w:t>
            </w:r>
            <w:r w:rsidR="00A04148">
              <w:rPr>
                <w:rFonts w:ascii="Comic Sans MS" w:hAnsi="Comic Sans MS"/>
                <w:sz w:val="20"/>
                <w:szCs w:val="20"/>
              </w:rPr>
              <w:t xml:space="preserve"> in Tallahassee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  <w:r w:rsidR="00A04148">
              <w:rPr>
                <w:rFonts w:ascii="Comic Sans MS" w:hAnsi="Comic Sans MS"/>
                <w:sz w:val="20"/>
                <w:szCs w:val="20"/>
              </w:rPr>
              <w:t xml:space="preserve"> I am planning on attending. If anyone else is interested I might be able to foot the bill for the hotel room. Not sure how many we could take but let me know if you might be interested.</w:t>
            </w:r>
          </w:p>
        </w:tc>
        <w:tc>
          <w:tcPr>
            <w:tcW w:w="1620" w:type="dxa"/>
          </w:tcPr>
          <w:p w:rsidR="00386D70" w:rsidRPr="00EE0405" w:rsidRDefault="00A04148" w:rsidP="002C75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 xml:space="preserve">Let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me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know if you are interested.</w:t>
            </w:r>
          </w:p>
        </w:tc>
      </w:tr>
      <w:tr w:rsidR="00A34EF1" w:rsidRPr="00CC25DA" w:rsidTr="00C82031">
        <w:tc>
          <w:tcPr>
            <w:tcW w:w="2358" w:type="dxa"/>
          </w:tcPr>
          <w:p w:rsidR="00425B13" w:rsidRDefault="00425B13" w:rsidP="00B005FA">
            <w:pPr>
              <w:jc w:val="center"/>
              <w:rPr>
                <w:rFonts w:ascii="Comic Sans MS" w:hAnsi="Comic Sans MS"/>
                <w:noProof/>
                <w:color w:val="E36C0A" w:themeColor="accent6" w:themeShade="BF"/>
                <w:sz w:val="28"/>
              </w:rPr>
            </w:pPr>
          </w:p>
          <w:p w:rsidR="00A34EF1" w:rsidRPr="00FA39B6" w:rsidRDefault="00A04148" w:rsidP="00B005FA">
            <w:pPr>
              <w:jc w:val="center"/>
              <w:rPr>
                <w:rFonts w:ascii="Comic Sans MS" w:hAnsi="Comic Sans MS"/>
                <w:noProof/>
                <w:color w:val="E36C0A" w:themeColor="accent6" w:themeShade="BF"/>
                <w:sz w:val="28"/>
              </w:rPr>
            </w:pPr>
            <w:r w:rsidRPr="00FA39B6">
              <w:rPr>
                <w:rFonts w:ascii="Comic Sans MS" w:hAnsi="Comic Sans MS"/>
                <w:noProof/>
                <w:color w:val="E36C0A" w:themeColor="accent6" w:themeShade="BF"/>
                <w:sz w:val="28"/>
              </w:rPr>
              <w:t>Accommodation Book now available</w:t>
            </w:r>
          </w:p>
        </w:tc>
        <w:tc>
          <w:tcPr>
            <w:tcW w:w="6660" w:type="dxa"/>
          </w:tcPr>
          <w:p w:rsidR="00A34EF1" w:rsidRDefault="00A04148" w:rsidP="0036333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Marty Beech’s book Accommodations: Assisting Students with Disabilities (2010)  is now available:</w:t>
            </w:r>
          </w:p>
          <w:p w:rsidR="00A04148" w:rsidRDefault="002661A4" w:rsidP="0036333A">
            <w:pPr>
              <w:rPr>
                <w:rFonts w:ascii="Comic Sans MS" w:hAnsi="Comic Sans MS"/>
                <w:sz w:val="20"/>
                <w:szCs w:val="20"/>
              </w:rPr>
            </w:pPr>
            <w:hyperlink r:id="rId15" w:history="1">
              <w:r w:rsidR="00A04148" w:rsidRPr="00923D0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http://www.fldoe.org/ese/pdf/accomm-educator.pdf</w:t>
              </w:r>
            </w:hyperlink>
            <w:r w:rsidR="00A0414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425B13" w:rsidRDefault="00425B13" w:rsidP="0036333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425B13" w:rsidRDefault="00425B13" w:rsidP="0036333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Tami also shared the link to Marty’s website:</w:t>
            </w:r>
          </w:p>
          <w:p w:rsidR="00425B13" w:rsidRPr="00425B13" w:rsidRDefault="00425B13" w:rsidP="00425B13">
            <w:pPr>
              <w:rPr>
                <w:rFonts w:ascii="Comic Sans MS" w:hAnsi="Comic Sans MS"/>
                <w:sz w:val="20"/>
              </w:rPr>
            </w:pPr>
            <w:hyperlink r:id="rId16" w:history="1">
              <w:r w:rsidRPr="00425B13">
                <w:rPr>
                  <w:rStyle w:val="Hyperlink"/>
                  <w:rFonts w:ascii="Comic Sans MS" w:hAnsi="Comic Sans MS"/>
                  <w:sz w:val="20"/>
                </w:rPr>
                <w:t>http://www.cpt.fsu.edu/ese/index.html</w:t>
              </w:r>
            </w:hyperlink>
          </w:p>
          <w:p w:rsidR="00425B13" w:rsidRDefault="00425B13" w:rsidP="0036333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A34EF1" w:rsidRDefault="00A04148" w:rsidP="002C7547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Download, read, and share.</w:t>
            </w:r>
          </w:p>
        </w:tc>
      </w:tr>
      <w:tr w:rsidR="00C414D1" w:rsidRPr="00CC25DA" w:rsidTr="00C82031">
        <w:tc>
          <w:tcPr>
            <w:tcW w:w="2358" w:type="dxa"/>
          </w:tcPr>
          <w:p w:rsidR="00D02756" w:rsidRDefault="00D02756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C414D1" w:rsidRPr="00FA39B6" w:rsidRDefault="00A04148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Science Curriculum Visual Supports</w:t>
            </w:r>
          </w:p>
        </w:tc>
        <w:tc>
          <w:tcPr>
            <w:tcW w:w="6660" w:type="dxa"/>
          </w:tcPr>
          <w:p w:rsidR="00D716F4" w:rsidRDefault="00A04148" w:rsidP="00A34E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Lourdes Day, CTS from FDLRS Sunrise, and some of her Polk County LATS </w:t>
            </w:r>
            <w:r w:rsidR="00425B13">
              <w:rPr>
                <w:rFonts w:ascii="Comic Sans MS" w:hAnsi="Comic Sans MS"/>
                <w:sz w:val="20"/>
                <w:szCs w:val="20"/>
              </w:rPr>
              <w:t xml:space="preserve">and teachers </w:t>
            </w:r>
            <w:r>
              <w:rPr>
                <w:rFonts w:ascii="Comic Sans MS" w:hAnsi="Comic Sans MS"/>
                <w:sz w:val="20"/>
                <w:szCs w:val="20"/>
              </w:rPr>
              <w:t xml:space="preserve">have developed a project similar to our symposiums projects. They took the </w:t>
            </w:r>
            <w:r w:rsidR="00425B13">
              <w:rPr>
                <w:rFonts w:ascii="Comic Sans MS" w:hAnsi="Comic Sans MS"/>
                <w:sz w:val="20"/>
                <w:szCs w:val="20"/>
              </w:rPr>
              <w:t xml:space="preserve">middle school </w:t>
            </w:r>
            <w:r>
              <w:rPr>
                <w:rFonts w:ascii="Comic Sans MS" w:hAnsi="Comic Sans MS"/>
                <w:sz w:val="20"/>
                <w:szCs w:val="20"/>
              </w:rPr>
              <w:t>science curriculum and created</w:t>
            </w:r>
            <w:r w:rsidR="00425B13">
              <w:rPr>
                <w:rFonts w:ascii="Comic Sans MS" w:hAnsi="Comic Sans MS"/>
                <w:sz w:val="20"/>
                <w:szCs w:val="20"/>
              </w:rPr>
              <w:t xml:space="preserve"> books with symbolated text and vocabulary cards. Check it out at:</w:t>
            </w:r>
          </w:p>
          <w:p w:rsidR="00425B13" w:rsidRDefault="00D02756" w:rsidP="00A34EF1">
            <w:pPr>
              <w:rPr>
                <w:rFonts w:ascii="Comic Sans MS" w:hAnsi="Comic Sans MS"/>
                <w:sz w:val="20"/>
                <w:szCs w:val="20"/>
              </w:rPr>
            </w:pPr>
            <w:hyperlink r:id="rId17" w:history="1">
              <w:r w:rsidRPr="00C80B87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http://www.polk-fl.net/staff/resources/ese/resourcesboardmaker.htm</w:t>
              </w:r>
            </w:hyperlink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425B13" w:rsidRPr="009E0731" w:rsidRDefault="00425B13" w:rsidP="00A34E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The resources are under the heading </w:t>
            </w:r>
            <w:r w:rsidRPr="00425B13">
              <w:rPr>
                <w:rFonts w:ascii="Comic Sans MS" w:hAnsi="Comic Sans MS"/>
                <w:b/>
                <w:sz w:val="20"/>
                <w:szCs w:val="20"/>
              </w:rPr>
              <w:t>Middle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425B13">
              <w:rPr>
                <w:rFonts w:ascii="Comic Sans MS" w:hAnsi="Comic Sans MS"/>
                <w:b/>
                <w:sz w:val="20"/>
                <w:szCs w:val="20"/>
              </w:rPr>
              <w:t>School Access Science</w:t>
            </w:r>
          </w:p>
        </w:tc>
        <w:tc>
          <w:tcPr>
            <w:tcW w:w="1620" w:type="dxa"/>
          </w:tcPr>
          <w:p w:rsidR="00C414D1" w:rsidRDefault="00C414D1" w:rsidP="009E0731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5401CA" w:rsidRPr="00CC25DA" w:rsidTr="00C82031">
        <w:tc>
          <w:tcPr>
            <w:tcW w:w="2358" w:type="dxa"/>
          </w:tcPr>
          <w:p w:rsidR="008345CF" w:rsidRDefault="00425B13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Other</w:t>
            </w:r>
          </w:p>
          <w:p w:rsidR="004C23A6" w:rsidRPr="00FA39B6" w:rsidRDefault="004C23A6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 xml:space="preserve">Training </w:t>
            </w:r>
          </w:p>
          <w:p w:rsidR="005401CA" w:rsidRPr="00FA39B6" w:rsidRDefault="004C23A6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Dates</w:t>
            </w:r>
          </w:p>
        </w:tc>
        <w:tc>
          <w:tcPr>
            <w:tcW w:w="6660" w:type="dxa"/>
          </w:tcPr>
          <w:p w:rsidR="00425B13" w:rsidRDefault="00425B13" w:rsidP="004C23A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401CA" w:rsidRDefault="004C23A6" w:rsidP="004C23A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FYI we will be offering Visual Supports for Parents on November 1</w:t>
            </w:r>
            <w:r w:rsidRPr="004C23A6">
              <w:rPr>
                <w:rFonts w:ascii="Comic Sans MS" w:hAnsi="Comic Sans MS"/>
                <w:sz w:val="20"/>
                <w:szCs w:val="20"/>
                <w:vertAlign w:val="superscript"/>
              </w:rPr>
              <w:t>st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Boardmaker on November 16</w:t>
            </w:r>
            <w:r w:rsidRPr="004C23A6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  <w:r>
              <w:rPr>
                <w:rFonts w:ascii="Comic Sans MS" w:hAnsi="Comic Sans MS"/>
                <w:sz w:val="20"/>
                <w:szCs w:val="20"/>
              </w:rPr>
              <w:t xml:space="preserve"> here at FDLRS Action. </w:t>
            </w:r>
          </w:p>
        </w:tc>
        <w:tc>
          <w:tcPr>
            <w:tcW w:w="1620" w:type="dxa"/>
          </w:tcPr>
          <w:p w:rsidR="005401CA" w:rsidRDefault="004C23A6" w:rsidP="004C23A6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 xml:space="preserve"> More information available at </w:t>
            </w:r>
            <w:hyperlink r:id="rId18" w:history="1">
              <w:r w:rsidRPr="00923D0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http://fdlrs.gosignmeup.com</w:t>
              </w:r>
            </w:hyperlink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B36D08" w:rsidRPr="00CC25DA" w:rsidTr="00C82031">
        <w:tc>
          <w:tcPr>
            <w:tcW w:w="2358" w:type="dxa"/>
          </w:tcPr>
          <w:p w:rsidR="008345CF" w:rsidRDefault="008345CF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8345CF" w:rsidRDefault="004C23A6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 xml:space="preserve">New </w:t>
            </w:r>
          </w:p>
          <w:p w:rsidR="00B36D08" w:rsidRPr="00FA39B6" w:rsidRDefault="004C23A6" w:rsidP="00B005FA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TAP</w:t>
            </w:r>
          </w:p>
        </w:tc>
        <w:tc>
          <w:tcPr>
            <w:tcW w:w="6660" w:type="dxa"/>
          </w:tcPr>
          <w:p w:rsidR="00206F07" w:rsidRDefault="004C23A6" w:rsidP="00B005F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There is a new TAP out on </w:t>
            </w:r>
            <w:r w:rsidRPr="004C23A6">
              <w:rPr>
                <w:rFonts w:ascii="Comic Sans MS" w:hAnsi="Comic Sans MS"/>
                <w:b/>
                <w:sz w:val="20"/>
                <w:szCs w:val="20"/>
              </w:rPr>
              <w:t>Statewide Assessment for Students with Disabilities</w:t>
            </w:r>
            <w:r>
              <w:rPr>
                <w:rFonts w:ascii="Comic Sans MS" w:hAnsi="Comic Sans MS"/>
                <w:sz w:val="20"/>
                <w:szCs w:val="20"/>
              </w:rPr>
              <w:t>. Major changes are highlighted as well as allowable accommodations and special exemptions. You can download at:</w:t>
            </w:r>
          </w:p>
          <w:p w:rsidR="004C23A6" w:rsidRDefault="002661A4" w:rsidP="00B005FA">
            <w:pPr>
              <w:rPr>
                <w:rFonts w:ascii="Comic Sans MS" w:hAnsi="Comic Sans MS"/>
                <w:sz w:val="20"/>
                <w:szCs w:val="20"/>
              </w:rPr>
            </w:pPr>
            <w:hyperlink r:id="rId19" w:history="1">
              <w:r w:rsidR="004C23A6" w:rsidRPr="00923D0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http://info.fldoe.org/docushare/dsweb/Get/Document-5831/dps-2010-92.pdf</w:t>
              </w:r>
            </w:hyperlink>
            <w:r w:rsidR="004C23A6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B36D08" w:rsidRDefault="004C23A6" w:rsidP="00206F07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Download, read, and share.</w:t>
            </w:r>
          </w:p>
        </w:tc>
      </w:tr>
      <w:tr w:rsidR="004C23A6" w:rsidRPr="00CC25DA" w:rsidTr="00C82031">
        <w:tc>
          <w:tcPr>
            <w:tcW w:w="2358" w:type="dxa"/>
          </w:tcPr>
          <w:p w:rsidR="004C23A6" w:rsidRPr="00FA39B6" w:rsidRDefault="004C23A6" w:rsidP="004C23A6">
            <w:pPr>
              <w:jc w:val="center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FA39B6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Creating an iTunes account without a credit card</w:t>
            </w:r>
          </w:p>
        </w:tc>
        <w:tc>
          <w:tcPr>
            <w:tcW w:w="6660" w:type="dxa"/>
          </w:tcPr>
          <w:p w:rsidR="004C23A6" w:rsidRDefault="004C23A6" w:rsidP="00B005F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Some of you raised concerns about setting up an iTunes account and having it linked to your personal credit card. </w:t>
            </w:r>
            <w:r w:rsidR="00F86463">
              <w:rPr>
                <w:rFonts w:ascii="Comic Sans MS" w:hAnsi="Comic Sans MS"/>
                <w:sz w:val="20"/>
                <w:szCs w:val="20"/>
              </w:rPr>
              <w:t>Below is a link to instructions on creating an account without a credit card.</w:t>
            </w:r>
          </w:p>
          <w:p w:rsidR="00F86463" w:rsidRDefault="00F86463" w:rsidP="00B005F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86463" w:rsidRDefault="002661A4" w:rsidP="00B005FA">
            <w:pPr>
              <w:rPr>
                <w:rFonts w:ascii="Comic Sans MS" w:hAnsi="Comic Sans MS"/>
                <w:sz w:val="20"/>
                <w:szCs w:val="20"/>
              </w:rPr>
            </w:pPr>
            <w:hyperlink r:id="rId20" w:history="1">
              <w:r w:rsidR="00F86463" w:rsidRPr="00923D0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http://support.apple.com/kb/ht2534</w:t>
              </w:r>
            </w:hyperlink>
            <w:r w:rsidR="00F8646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4C23A6" w:rsidRDefault="00ED09D0" w:rsidP="00206F07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Check it out and share.</w:t>
            </w:r>
          </w:p>
        </w:tc>
      </w:tr>
    </w:tbl>
    <w:p w:rsidR="00827624" w:rsidRDefault="00827624">
      <w:pPr>
        <w:rPr>
          <w:rFonts w:ascii="Comic Sans MS" w:hAnsi="Comic Sans MS"/>
          <w:sz w:val="28"/>
          <w:szCs w:val="28"/>
        </w:rPr>
      </w:pPr>
    </w:p>
    <w:p w:rsidR="00D90E3C" w:rsidRDefault="00D90E3C">
      <w:pPr>
        <w:rPr>
          <w:rFonts w:ascii="Comic Sans MS" w:hAnsi="Comic Sans MS"/>
          <w:sz w:val="28"/>
          <w:szCs w:val="28"/>
        </w:rPr>
      </w:pPr>
    </w:p>
    <w:p w:rsidR="00A92372" w:rsidRPr="00827624" w:rsidRDefault="00FA39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Till next month</w:t>
      </w:r>
      <w:r w:rsidR="00407032" w:rsidRPr="00827624">
        <w:rPr>
          <w:rFonts w:ascii="Comic Sans MS" w:hAnsi="Comic Sans MS"/>
          <w:sz w:val="28"/>
          <w:szCs w:val="28"/>
        </w:rPr>
        <w:t>…</w:t>
      </w:r>
      <w:r w:rsidR="00064E38" w:rsidRPr="00064E38">
        <w:rPr>
          <w:rFonts w:ascii="Comic Sans MS" w:hAnsi="Comic Sans MS"/>
          <w:sz w:val="28"/>
          <w:szCs w:val="28"/>
        </w:rPr>
        <w:sym w:font="Wingdings" w:char="F04A"/>
      </w:r>
    </w:p>
    <w:sectPr w:rsidR="00A92372" w:rsidRPr="00827624" w:rsidSect="00827624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19B"/>
    <w:multiLevelType w:val="hybridMultilevel"/>
    <w:tmpl w:val="6C6CE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F23D1"/>
    <w:multiLevelType w:val="hybridMultilevel"/>
    <w:tmpl w:val="A73C2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D63D5"/>
    <w:multiLevelType w:val="hybridMultilevel"/>
    <w:tmpl w:val="556CA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57695"/>
    <w:multiLevelType w:val="hybridMultilevel"/>
    <w:tmpl w:val="1040B0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A0A0C1E"/>
    <w:multiLevelType w:val="hybridMultilevel"/>
    <w:tmpl w:val="0394A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CD045C"/>
    <w:multiLevelType w:val="hybridMultilevel"/>
    <w:tmpl w:val="9B905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C124C"/>
    <w:multiLevelType w:val="hybridMultilevel"/>
    <w:tmpl w:val="6652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92372"/>
    <w:rsid w:val="00007590"/>
    <w:rsid w:val="0001515E"/>
    <w:rsid w:val="00016A24"/>
    <w:rsid w:val="00022995"/>
    <w:rsid w:val="000253C2"/>
    <w:rsid w:val="00034340"/>
    <w:rsid w:val="00035C1F"/>
    <w:rsid w:val="000554BD"/>
    <w:rsid w:val="00064E38"/>
    <w:rsid w:val="00066BB3"/>
    <w:rsid w:val="00071F7D"/>
    <w:rsid w:val="00076F36"/>
    <w:rsid w:val="00081886"/>
    <w:rsid w:val="000A21B0"/>
    <w:rsid w:val="000B4FA7"/>
    <w:rsid w:val="000B5E97"/>
    <w:rsid w:val="000B66E3"/>
    <w:rsid w:val="000D668A"/>
    <w:rsid w:val="000F1A9F"/>
    <w:rsid w:val="00102E78"/>
    <w:rsid w:val="00110A4A"/>
    <w:rsid w:val="001130D1"/>
    <w:rsid w:val="00113B59"/>
    <w:rsid w:val="00114188"/>
    <w:rsid w:val="001162E1"/>
    <w:rsid w:val="0012167D"/>
    <w:rsid w:val="00135162"/>
    <w:rsid w:val="0013652E"/>
    <w:rsid w:val="001409C7"/>
    <w:rsid w:val="00147AF4"/>
    <w:rsid w:val="00156D33"/>
    <w:rsid w:val="00163DC5"/>
    <w:rsid w:val="00166B47"/>
    <w:rsid w:val="00185ADF"/>
    <w:rsid w:val="001925A3"/>
    <w:rsid w:val="001927C8"/>
    <w:rsid w:val="00192DCC"/>
    <w:rsid w:val="001A30B6"/>
    <w:rsid w:val="001A33A7"/>
    <w:rsid w:val="001A7B67"/>
    <w:rsid w:val="001C03C8"/>
    <w:rsid w:val="001C475C"/>
    <w:rsid w:val="001D54BF"/>
    <w:rsid w:val="001D6E35"/>
    <w:rsid w:val="001E477F"/>
    <w:rsid w:val="001E4841"/>
    <w:rsid w:val="001E6964"/>
    <w:rsid w:val="001E6EB3"/>
    <w:rsid w:val="001F2DC3"/>
    <w:rsid w:val="001F5A95"/>
    <w:rsid w:val="00204EBE"/>
    <w:rsid w:val="00206F07"/>
    <w:rsid w:val="002170D1"/>
    <w:rsid w:val="00224395"/>
    <w:rsid w:val="002354E6"/>
    <w:rsid w:val="00242737"/>
    <w:rsid w:val="00256261"/>
    <w:rsid w:val="00260111"/>
    <w:rsid w:val="002623A5"/>
    <w:rsid w:val="002661A4"/>
    <w:rsid w:val="0028631B"/>
    <w:rsid w:val="0028779B"/>
    <w:rsid w:val="002A6683"/>
    <w:rsid w:val="002B02E7"/>
    <w:rsid w:val="002B2F73"/>
    <w:rsid w:val="002B3AE0"/>
    <w:rsid w:val="002B55F4"/>
    <w:rsid w:val="002C1815"/>
    <w:rsid w:val="002C7547"/>
    <w:rsid w:val="002D0733"/>
    <w:rsid w:val="002D6783"/>
    <w:rsid w:val="002F45B2"/>
    <w:rsid w:val="00301B1A"/>
    <w:rsid w:val="003028A5"/>
    <w:rsid w:val="003226BF"/>
    <w:rsid w:val="00323378"/>
    <w:rsid w:val="0032526F"/>
    <w:rsid w:val="00326680"/>
    <w:rsid w:val="0033408F"/>
    <w:rsid w:val="003346E8"/>
    <w:rsid w:val="0033475B"/>
    <w:rsid w:val="00343A38"/>
    <w:rsid w:val="0035233F"/>
    <w:rsid w:val="00355D01"/>
    <w:rsid w:val="0036333A"/>
    <w:rsid w:val="00372EED"/>
    <w:rsid w:val="00386D70"/>
    <w:rsid w:val="00395C15"/>
    <w:rsid w:val="003A3122"/>
    <w:rsid w:val="003B439D"/>
    <w:rsid w:val="003B7E97"/>
    <w:rsid w:val="003C02ED"/>
    <w:rsid w:val="003D4F46"/>
    <w:rsid w:val="003D70A9"/>
    <w:rsid w:val="003D72DE"/>
    <w:rsid w:val="003E0F45"/>
    <w:rsid w:val="003E62B2"/>
    <w:rsid w:val="003F2B57"/>
    <w:rsid w:val="004031BE"/>
    <w:rsid w:val="00407032"/>
    <w:rsid w:val="004115AA"/>
    <w:rsid w:val="004139DB"/>
    <w:rsid w:val="004176A9"/>
    <w:rsid w:val="004223EC"/>
    <w:rsid w:val="00423573"/>
    <w:rsid w:val="00425B13"/>
    <w:rsid w:val="00440CBF"/>
    <w:rsid w:val="00456E00"/>
    <w:rsid w:val="004572E9"/>
    <w:rsid w:val="0046099C"/>
    <w:rsid w:val="00466046"/>
    <w:rsid w:val="00466D8D"/>
    <w:rsid w:val="00474DCD"/>
    <w:rsid w:val="004760EF"/>
    <w:rsid w:val="004772A0"/>
    <w:rsid w:val="00477944"/>
    <w:rsid w:val="00483BF7"/>
    <w:rsid w:val="004A00E3"/>
    <w:rsid w:val="004A7D5D"/>
    <w:rsid w:val="004B455C"/>
    <w:rsid w:val="004C23A6"/>
    <w:rsid w:val="004C3F61"/>
    <w:rsid w:val="004C4DEE"/>
    <w:rsid w:val="004C70B8"/>
    <w:rsid w:val="004D071D"/>
    <w:rsid w:val="004D3B77"/>
    <w:rsid w:val="004E01FA"/>
    <w:rsid w:val="004E775A"/>
    <w:rsid w:val="004F0A60"/>
    <w:rsid w:val="004F6715"/>
    <w:rsid w:val="004F7616"/>
    <w:rsid w:val="005401CA"/>
    <w:rsid w:val="00547BFD"/>
    <w:rsid w:val="005534B6"/>
    <w:rsid w:val="005610C8"/>
    <w:rsid w:val="00576B95"/>
    <w:rsid w:val="005825F8"/>
    <w:rsid w:val="005936D6"/>
    <w:rsid w:val="00596BD9"/>
    <w:rsid w:val="005A3B39"/>
    <w:rsid w:val="005A43C1"/>
    <w:rsid w:val="005B3969"/>
    <w:rsid w:val="005B3D34"/>
    <w:rsid w:val="005B4130"/>
    <w:rsid w:val="005C1D0C"/>
    <w:rsid w:val="005C7DA1"/>
    <w:rsid w:val="005D45F0"/>
    <w:rsid w:val="005D7D27"/>
    <w:rsid w:val="005E4F89"/>
    <w:rsid w:val="005F157C"/>
    <w:rsid w:val="005F451E"/>
    <w:rsid w:val="00603A3B"/>
    <w:rsid w:val="00604E90"/>
    <w:rsid w:val="0061049F"/>
    <w:rsid w:val="006143B1"/>
    <w:rsid w:val="00627113"/>
    <w:rsid w:val="00633798"/>
    <w:rsid w:val="00643A28"/>
    <w:rsid w:val="00646247"/>
    <w:rsid w:val="006614CC"/>
    <w:rsid w:val="00675F49"/>
    <w:rsid w:val="00683538"/>
    <w:rsid w:val="00692BB4"/>
    <w:rsid w:val="00694016"/>
    <w:rsid w:val="006A1809"/>
    <w:rsid w:val="006A3800"/>
    <w:rsid w:val="006B6629"/>
    <w:rsid w:val="006B7AA8"/>
    <w:rsid w:val="006C205C"/>
    <w:rsid w:val="006E334D"/>
    <w:rsid w:val="006E4877"/>
    <w:rsid w:val="006F3F20"/>
    <w:rsid w:val="00704E3E"/>
    <w:rsid w:val="00712D4D"/>
    <w:rsid w:val="00717B34"/>
    <w:rsid w:val="007317B3"/>
    <w:rsid w:val="00731C42"/>
    <w:rsid w:val="007329B8"/>
    <w:rsid w:val="00732E04"/>
    <w:rsid w:val="00733232"/>
    <w:rsid w:val="00736D09"/>
    <w:rsid w:val="00740EF9"/>
    <w:rsid w:val="0074202E"/>
    <w:rsid w:val="0074353E"/>
    <w:rsid w:val="00745894"/>
    <w:rsid w:val="00745AEE"/>
    <w:rsid w:val="007501CF"/>
    <w:rsid w:val="007574F9"/>
    <w:rsid w:val="00760AF4"/>
    <w:rsid w:val="00773986"/>
    <w:rsid w:val="00777085"/>
    <w:rsid w:val="00784114"/>
    <w:rsid w:val="0079015C"/>
    <w:rsid w:val="00791E6A"/>
    <w:rsid w:val="007B10D7"/>
    <w:rsid w:val="007B6CBF"/>
    <w:rsid w:val="007D1E73"/>
    <w:rsid w:val="007D3175"/>
    <w:rsid w:val="007D392C"/>
    <w:rsid w:val="007E2BD0"/>
    <w:rsid w:val="007E3E18"/>
    <w:rsid w:val="007E4D82"/>
    <w:rsid w:val="0080334C"/>
    <w:rsid w:val="0081370C"/>
    <w:rsid w:val="008174FF"/>
    <w:rsid w:val="00827624"/>
    <w:rsid w:val="00827AAC"/>
    <w:rsid w:val="008306ED"/>
    <w:rsid w:val="008345CF"/>
    <w:rsid w:val="008408D7"/>
    <w:rsid w:val="00864A50"/>
    <w:rsid w:val="00882D9C"/>
    <w:rsid w:val="008912C2"/>
    <w:rsid w:val="008A0128"/>
    <w:rsid w:val="008A3D55"/>
    <w:rsid w:val="008A4837"/>
    <w:rsid w:val="008B22C2"/>
    <w:rsid w:val="008B2423"/>
    <w:rsid w:val="008B24A0"/>
    <w:rsid w:val="008B5FCD"/>
    <w:rsid w:val="008C0683"/>
    <w:rsid w:val="008D1077"/>
    <w:rsid w:val="008D3C1B"/>
    <w:rsid w:val="008D6FA6"/>
    <w:rsid w:val="008D75B2"/>
    <w:rsid w:val="008F7F56"/>
    <w:rsid w:val="00910173"/>
    <w:rsid w:val="0091412A"/>
    <w:rsid w:val="009143DC"/>
    <w:rsid w:val="00931152"/>
    <w:rsid w:val="009433D5"/>
    <w:rsid w:val="009447B8"/>
    <w:rsid w:val="00957003"/>
    <w:rsid w:val="00961D5A"/>
    <w:rsid w:val="00962A30"/>
    <w:rsid w:val="0097420D"/>
    <w:rsid w:val="00975C0E"/>
    <w:rsid w:val="00991B3F"/>
    <w:rsid w:val="009A6B61"/>
    <w:rsid w:val="009D2984"/>
    <w:rsid w:val="009D501C"/>
    <w:rsid w:val="009E0731"/>
    <w:rsid w:val="009E667B"/>
    <w:rsid w:val="009E765E"/>
    <w:rsid w:val="009E7FAD"/>
    <w:rsid w:val="009F0171"/>
    <w:rsid w:val="00A04148"/>
    <w:rsid w:val="00A12CC6"/>
    <w:rsid w:val="00A15D15"/>
    <w:rsid w:val="00A20D89"/>
    <w:rsid w:val="00A34EF1"/>
    <w:rsid w:val="00A456E9"/>
    <w:rsid w:val="00A72B4B"/>
    <w:rsid w:val="00A92372"/>
    <w:rsid w:val="00A95E41"/>
    <w:rsid w:val="00A97C2F"/>
    <w:rsid w:val="00A97D5E"/>
    <w:rsid w:val="00AA52BA"/>
    <w:rsid w:val="00AB5395"/>
    <w:rsid w:val="00AC5B1B"/>
    <w:rsid w:val="00AE2D2F"/>
    <w:rsid w:val="00AF076C"/>
    <w:rsid w:val="00B005FA"/>
    <w:rsid w:val="00B04029"/>
    <w:rsid w:val="00B063BB"/>
    <w:rsid w:val="00B13601"/>
    <w:rsid w:val="00B152A3"/>
    <w:rsid w:val="00B2516F"/>
    <w:rsid w:val="00B36D08"/>
    <w:rsid w:val="00B46061"/>
    <w:rsid w:val="00B47F7D"/>
    <w:rsid w:val="00B61244"/>
    <w:rsid w:val="00B86BB2"/>
    <w:rsid w:val="00B9517F"/>
    <w:rsid w:val="00BA650E"/>
    <w:rsid w:val="00BA68F7"/>
    <w:rsid w:val="00BA76E8"/>
    <w:rsid w:val="00BC18CC"/>
    <w:rsid w:val="00BD105B"/>
    <w:rsid w:val="00BE6716"/>
    <w:rsid w:val="00BE77EB"/>
    <w:rsid w:val="00BF172D"/>
    <w:rsid w:val="00BF7234"/>
    <w:rsid w:val="00C174A8"/>
    <w:rsid w:val="00C23EFC"/>
    <w:rsid w:val="00C24F64"/>
    <w:rsid w:val="00C306C1"/>
    <w:rsid w:val="00C34B95"/>
    <w:rsid w:val="00C414D1"/>
    <w:rsid w:val="00C4593D"/>
    <w:rsid w:val="00C61DE1"/>
    <w:rsid w:val="00C64090"/>
    <w:rsid w:val="00C70FA8"/>
    <w:rsid w:val="00C74E64"/>
    <w:rsid w:val="00C82031"/>
    <w:rsid w:val="00C8487D"/>
    <w:rsid w:val="00C84D92"/>
    <w:rsid w:val="00CA1FD9"/>
    <w:rsid w:val="00CA34BF"/>
    <w:rsid w:val="00CC0ACB"/>
    <w:rsid w:val="00CC25DA"/>
    <w:rsid w:val="00CD2782"/>
    <w:rsid w:val="00CD3380"/>
    <w:rsid w:val="00CD7D48"/>
    <w:rsid w:val="00CE0822"/>
    <w:rsid w:val="00CE367C"/>
    <w:rsid w:val="00CE45AD"/>
    <w:rsid w:val="00CE5F8B"/>
    <w:rsid w:val="00CF35A8"/>
    <w:rsid w:val="00D02374"/>
    <w:rsid w:val="00D02756"/>
    <w:rsid w:val="00D32C4A"/>
    <w:rsid w:val="00D3354A"/>
    <w:rsid w:val="00D40BDF"/>
    <w:rsid w:val="00D443DA"/>
    <w:rsid w:val="00D51FB8"/>
    <w:rsid w:val="00D5568F"/>
    <w:rsid w:val="00D716F4"/>
    <w:rsid w:val="00D76991"/>
    <w:rsid w:val="00D90E3C"/>
    <w:rsid w:val="00D92AF5"/>
    <w:rsid w:val="00DB39B0"/>
    <w:rsid w:val="00DE1BA9"/>
    <w:rsid w:val="00E021EC"/>
    <w:rsid w:val="00E13213"/>
    <w:rsid w:val="00E13316"/>
    <w:rsid w:val="00E16560"/>
    <w:rsid w:val="00E31C83"/>
    <w:rsid w:val="00E36C6F"/>
    <w:rsid w:val="00E3785B"/>
    <w:rsid w:val="00E51FAC"/>
    <w:rsid w:val="00E57365"/>
    <w:rsid w:val="00E57BB8"/>
    <w:rsid w:val="00E63C44"/>
    <w:rsid w:val="00E73219"/>
    <w:rsid w:val="00E74395"/>
    <w:rsid w:val="00EA4BC9"/>
    <w:rsid w:val="00EB0F20"/>
    <w:rsid w:val="00ED09D0"/>
    <w:rsid w:val="00ED1B2B"/>
    <w:rsid w:val="00ED1CC8"/>
    <w:rsid w:val="00EE0405"/>
    <w:rsid w:val="00EE4A87"/>
    <w:rsid w:val="00EE4B14"/>
    <w:rsid w:val="00EE761D"/>
    <w:rsid w:val="00EF2D51"/>
    <w:rsid w:val="00EF4C43"/>
    <w:rsid w:val="00EF785C"/>
    <w:rsid w:val="00F020CD"/>
    <w:rsid w:val="00F07394"/>
    <w:rsid w:val="00F152F9"/>
    <w:rsid w:val="00F44C74"/>
    <w:rsid w:val="00F70141"/>
    <w:rsid w:val="00F7715D"/>
    <w:rsid w:val="00F84B4D"/>
    <w:rsid w:val="00F86463"/>
    <w:rsid w:val="00F87ED7"/>
    <w:rsid w:val="00F9132D"/>
    <w:rsid w:val="00FA29E4"/>
    <w:rsid w:val="00FA39B6"/>
    <w:rsid w:val="00FB696B"/>
    <w:rsid w:val="00FB71C6"/>
    <w:rsid w:val="00FC169E"/>
    <w:rsid w:val="00FC5C92"/>
    <w:rsid w:val="00FC70ED"/>
    <w:rsid w:val="00FD3BBC"/>
    <w:rsid w:val="00FD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62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A00E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063BB"/>
    <w:pPr>
      <w:spacing w:before="100" w:beforeAutospacing="1" w:after="100" w:afterAutospacing="1"/>
    </w:pPr>
    <w:rPr>
      <w:rFonts w:eastAsia="Calibri"/>
    </w:rPr>
  </w:style>
  <w:style w:type="character" w:styleId="FollowedHyperlink">
    <w:name w:val="FollowedHyperlink"/>
    <w:basedOn w:val="DefaultParagraphFont"/>
    <w:rsid w:val="00991B3F"/>
    <w:rPr>
      <w:color w:val="800080"/>
      <w:u w:val="single"/>
    </w:rPr>
  </w:style>
  <w:style w:type="character" w:customStyle="1" w:styleId="object">
    <w:name w:val="object"/>
    <w:basedOn w:val="DefaultParagraphFont"/>
    <w:rsid w:val="00760AF4"/>
  </w:style>
  <w:style w:type="paragraph" w:styleId="PlainText">
    <w:name w:val="Plain Text"/>
    <w:basedOn w:val="Normal"/>
    <w:link w:val="PlainTextChar"/>
    <w:uiPriority w:val="99"/>
    <w:unhideWhenUsed/>
    <w:rsid w:val="00EE761D"/>
    <w:rPr>
      <w:rFonts w:ascii="Comic Sans MS" w:eastAsia="Calibri" w:hAnsi="Comic Sans M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761D"/>
    <w:rPr>
      <w:rFonts w:ascii="Comic Sans MS" w:eastAsia="Calibri" w:hAnsi="Comic Sans MS" w:cs="Times New Roman"/>
      <w:sz w:val="21"/>
      <w:szCs w:val="21"/>
    </w:rPr>
  </w:style>
  <w:style w:type="paragraph" w:styleId="BalloonText">
    <w:name w:val="Balloon Text"/>
    <w:basedOn w:val="Normal"/>
    <w:link w:val="BalloonTextChar"/>
    <w:rsid w:val="002C75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5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8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9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54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7C8CA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0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92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floridastandards.org/Homepage/index.aspx?Redirected=1" TargetMode="External"/><Relationship Id="rId18" Type="http://schemas.openxmlformats.org/officeDocument/2006/relationships/hyperlink" Target="http://fdlrs.gosignmeup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http://farm3.static.flickr.com/2419/2512314870_11f1603268.jpg?v=0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://www.polk-fl.net/staff/resources/ese/resourcesboardmaker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pt.fsu.edu/ese/index.html" TargetMode="External"/><Relationship Id="rId20" Type="http://schemas.openxmlformats.org/officeDocument/2006/relationships/hyperlink" Target="http://support.apple.com/kb/ht253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http://farm3.static.flickr.com/2168/2266549287_b3429706a0.jpg?v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ldoe.org/ese/pdf/accomm-educator.pdf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info.fldoe.org/docushare/dsweb/Get/Document-5831/dps-2010-92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yperlink" Target="http://www.nxtbook.com/nxtbooks/1105/journal_201009/index.php?startid=1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D48DC-5449-4020-8026-589AE2F6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Marcia’s Monthly Minutes</vt:lpstr>
    </vt:vector>
  </TitlesOfParts>
  <Company> </Company>
  <LinksUpToDate>false</LinksUpToDate>
  <CharactersWithSpaces>4787</CharactersWithSpaces>
  <SharedDoc>false</SharedDoc>
  <HLinks>
    <vt:vector size="72" baseType="variant">
      <vt:variant>
        <vt:i4>65550</vt:i4>
      </vt:variant>
      <vt:variant>
        <vt:i4>24</vt:i4>
      </vt:variant>
      <vt:variant>
        <vt:i4>0</vt:i4>
      </vt:variant>
      <vt:variant>
        <vt:i4>5</vt:i4>
      </vt:variant>
      <vt:variant>
        <vt:lpwstr>http://www.ablenetinc.com/FloridaFDLRSRegion5/tabid/565/Default.aspx</vt:lpwstr>
      </vt:variant>
      <vt:variant>
        <vt:lpwstr/>
      </vt:variant>
      <vt:variant>
        <vt:i4>4456531</vt:i4>
      </vt:variant>
      <vt:variant>
        <vt:i4>21</vt:i4>
      </vt:variant>
      <vt:variant>
        <vt:i4>0</vt:i4>
      </vt:variant>
      <vt:variant>
        <vt:i4>5</vt:i4>
      </vt:variant>
      <vt:variant>
        <vt:lpwstr>http://aim.cast.org/</vt:lpwstr>
      </vt:variant>
      <vt:variant>
        <vt:lpwstr/>
      </vt:variant>
      <vt:variant>
        <vt:i4>3932211</vt:i4>
      </vt:variant>
      <vt:variant>
        <vt:i4>18</vt:i4>
      </vt:variant>
      <vt:variant>
        <vt:i4>0</vt:i4>
      </vt:variant>
      <vt:variant>
        <vt:i4>5</vt:i4>
      </vt:variant>
      <vt:variant>
        <vt:lpwstr>http://www.zacbrowser.com/</vt:lpwstr>
      </vt:variant>
      <vt:variant>
        <vt:lpwstr/>
      </vt:variant>
      <vt:variant>
        <vt:i4>4980761</vt:i4>
      </vt:variant>
      <vt:variant>
        <vt:i4>15</vt:i4>
      </vt:variant>
      <vt:variant>
        <vt:i4>0</vt:i4>
      </vt:variant>
      <vt:variant>
        <vt:i4>5</vt:i4>
      </vt:variant>
      <vt:variant>
        <vt:lpwstr>http://www.atmac.org/</vt:lpwstr>
      </vt:variant>
      <vt:variant>
        <vt:lpwstr/>
      </vt:variant>
      <vt:variant>
        <vt:i4>7995491</vt:i4>
      </vt:variant>
      <vt:variant>
        <vt:i4>12</vt:i4>
      </vt:variant>
      <vt:variant>
        <vt:i4>0</vt:i4>
      </vt:variant>
      <vt:variant>
        <vt:i4>5</vt:i4>
      </vt:variant>
      <vt:variant>
        <vt:lpwstr>https://webmail.ocps.net/owa/redir.aspx?C=b5a79a374ceb4d158487b63aed4d93f8&amp;URL=http%3a%2f%2fwww.proloquo2go.com%2ffiles%2fProloquo2GoManual.pdf</vt:lpwstr>
      </vt:variant>
      <vt:variant>
        <vt:lpwstr/>
      </vt:variant>
      <vt:variant>
        <vt:i4>720991</vt:i4>
      </vt:variant>
      <vt:variant>
        <vt:i4>9</vt:i4>
      </vt:variant>
      <vt:variant>
        <vt:i4>0</vt:i4>
      </vt:variant>
      <vt:variant>
        <vt:i4>5</vt:i4>
      </vt:variant>
      <vt:variant>
        <vt:lpwstr>http://www.surveymonkey.com/s/XQ8Q5C8</vt:lpwstr>
      </vt:variant>
      <vt:variant>
        <vt:lpwstr/>
      </vt:variant>
      <vt:variant>
        <vt:i4>4980762</vt:i4>
      </vt:variant>
      <vt:variant>
        <vt:i4>6</vt:i4>
      </vt:variant>
      <vt:variant>
        <vt:i4>0</vt:i4>
      </vt:variant>
      <vt:variant>
        <vt:i4>5</vt:i4>
      </vt:variant>
      <vt:variant>
        <vt:lpwstr>https://testnav.com/fltrngqc/epatLogin.jsp?testnavTestId=TrRERTKE&amp;testnavFormId=01EP</vt:lpwstr>
      </vt:variant>
      <vt:variant>
        <vt:lpwstr/>
      </vt:variant>
      <vt:variant>
        <vt:i4>5439518</vt:i4>
      </vt:variant>
      <vt:variant>
        <vt:i4>3</vt:i4>
      </vt:variant>
      <vt:variant>
        <vt:i4>0</vt:i4>
      </vt:variant>
      <vt:variant>
        <vt:i4>5</vt:i4>
      </vt:variant>
      <vt:variant>
        <vt:lpwstr>https://testnav.com/fltrngqc/epatLogin.jsp?testnavTestId=3002&amp;testnavFormId=02ep</vt:lpwstr>
      </vt:variant>
      <vt:variant>
        <vt:lpwstr/>
      </vt:variant>
      <vt:variant>
        <vt:i4>1048655</vt:i4>
      </vt:variant>
      <vt:variant>
        <vt:i4>0</vt:i4>
      </vt:variant>
      <vt:variant>
        <vt:i4>0</vt:i4>
      </vt:variant>
      <vt:variant>
        <vt:i4>5</vt:i4>
      </vt:variant>
      <vt:variant>
        <vt:lpwstr>http://www.surveymonkey.com/s/YBPJLP5</vt:lpwstr>
      </vt:variant>
      <vt:variant>
        <vt:lpwstr/>
      </vt:variant>
      <vt:variant>
        <vt:i4>98</vt:i4>
      </vt:variant>
      <vt:variant>
        <vt:i4>-1</vt:i4>
      </vt:variant>
      <vt:variant>
        <vt:i4>1029</vt:i4>
      </vt:variant>
      <vt:variant>
        <vt:i4>1</vt:i4>
      </vt:variant>
      <vt:variant>
        <vt:lpwstr>http://farm3.static.flickr.com/2419/2512314870_11f1603268.jpg?v=0</vt:lpwstr>
      </vt:variant>
      <vt:variant>
        <vt:lpwstr/>
      </vt:variant>
      <vt:variant>
        <vt:i4>5636207</vt:i4>
      </vt:variant>
      <vt:variant>
        <vt:i4>-1</vt:i4>
      </vt:variant>
      <vt:variant>
        <vt:i4>1034</vt:i4>
      </vt:variant>
      <vt:variant>
        <vt:i4>1</vt:i4>
      </vt:variant>
      <vt:variant>
        <vt:lpwstr>http://farm3.static.flickr.com/2168/2266549287_b3429706a0.jpg?v=0</vt:lpwstr>
      </vt:variant>
      <vt:variant>
        <vt:lpwstr/>
      </vt:variant>
      <vt:variant>
        <vt:i4>4784206</vt:i4>
      </vt:variant>
      <vt:variant>
        <vt:i4>-1</vt:i4>
      </vt:variant>
      <vt:variant>
        <vt:i4>1061</vt:i4>
      </vt:variant>
      <vt:variant>
        <vt:i4>1</vt:i4>
      </vt:variant>
      <vt:variant>
        <vt:lpwstr>http://freeipads.net/images/ipad/ipad.jpg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Marcia’s Monthly Minutes</dc:title>
  <dc:subject/>
  <dc:creator>Thomas Sterner</dc:creator>
  <cp:keywords/>
  <dc:description/>
  <cp:lastModifiedBy> </cp:lastModifiedBy>
  <cp:revision>3</cp:revision>
  <cp:lastPrinted>2010-09-28T16:57:00Z</cp:lastPrinted>
  <dcterms:created xsi:type="dcterms:W3CDTF">2010-08-27T01:16:00Z</dcterms:created>
  <dcterms:modified xsi:type="dcterms:W3CDTF">2010-09-28T17:21:00Z</dcterms:modified>
</cp:coreProperties>
</file>